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3034F">
      <w:pPr>
        <w:ind w:firstLine="0" w:firstLineChars="0"/>
        <w:jc w:val="center"/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草海桐</w:t>
      </w:r>
    </w:p>
    <w:p w14:paraId="4682E150">
      <w:pPr>
        <w:ind w:firstLine="0" w:firstLineChars="0"/>
        <w:jc w:val="center"/>
        <w:rPr>
          <w:rFonts w:ascii="黑体" w:hAnsi="Calibri" w:eastAsia="黑体" w:cs="Times New Roman"/>
          <w:color w:val="000000"/>
        </w:rPr>
      </w:pPr>
      <w:r>
        <w:rPr>
          <w:rFonts w:hint="eastAsia" w:ascii="黑体" w:hAnsi="Calibri" w:eastAsia="黑体" w:cs="Times New Roman"/>
          <w:color w:val="000000"/>
        </w:rPr>
        <w:t>Caohaitong</w:t>
      </w:r>
    </w:p>
    <w:p w14:paraId="260A9E52">
      <w:pPr>
        <w:ind w:firstLine="562"/>
        <w:jc w:val="center"/>
        <w:rPr>
          <w:rFonts w:ascii="Calibri" w:hAnsi="Calibri" w:eastAsia="黑体" w:cs="Times New Roman"/>
          <w:b/>
          <w:color w:val="000000"/>
          <w:sz w:val="28"/>
        </w:rPr>
      </w:pPr>
      <w:r>
        <w:rPr>
          <w:rFonts w:ascii="Times New Roman" w:hAnsi="Times New Roman" w:eastAsia="黑体" w:cs="Times New Roman"/>
          <w:b/>
          <w:sz w:val="28"/>
        </w:rPr>
        <w:t>S</w:t>
      </w:r>
      <w:r>
        <w:rPr>
          <w:rFonts w:hint="eastAsia" w:ascii="Times New Roman" w:hAnsi="Times New Roman" w:eastAsia="黑体" w:cs="Times New Roman"/>
          <w:b/>
          <w:sz w:val="28"/>
        </w:rPr>
        <w:t>CAEVOLA</w:t>
      </w:r>
      <w:r>
        <w:rPr>
          <w:rFonts w:hint="eastAsia" w:ascii="Times New Roman" w:hAnsi="Times New Roman" w:eastAsia="黑体" w:cs="Times New Roman"/>
          <w:b/>
          <w:sz w:val="28"/>
          <w:lang w:val="en-US" w:eastAsia="zh-CN"/>
        </w:rPr>
        <w:t>E</w:t>
      </w:r>
      <w:r>
        <w:rPr>
          <w:rFonts w:ascii="Times New Roman" w:hAnsi="Times New Roman" w:eastAsia="黑体" w:cs="Times New Roman"/>
          <w:b/>
          <w:sz w:val="28"/>
        </w:rPr>
        <w:t xml:space="preserve"> </w:t>
      </w:r>
      <w:r>
        <w:rPr>
          <w:rFonts w:hint="eastAsia" w:ascii="Times New Roman" w:hAnsi="Times New Roman" w:eastAsia="黑体" w:cs="Times New Roman"/>
          <w:b/>
          <w:sz w:val="28"/>
        </w:rPr>
        <w:t>TACCADA</w:t>
      </w:r>
      <w:r>
        <w:rPr>
          <w:rFonts w:hint="eastAsia" w:ascii="Times New Roman" w:hAnsi="Times New Roman" w:eastAsia="黑体" w:cs="Times New Roman"/>
          <w:b/>
          <w:sz w:val="28"/>
          <w:lang w:val="en-US" w:eastAsia="zh-CN"/>
        </w:rPr>
        <w:t>E</w:t>
      </w:r>
      <w:r>
        <w:rPr>
          <w:rFonts w:hint="eastAsia" w:ascii="Times New Roman" w:hAnsi="Times New Roman" w:eastAsia="黑体" w:cs="Times New Roman"/>
          <w:b/>
          <w:sz w:val="28"/>
        </w:rPr>
        <w:t xml:space="preserve"> HERBA</w:t>
      </w:r>
    </w:p>
    <w:p w14:paraId="0068649E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kern w:val="0"/>
          <w:szCs w:val="24"/>
        </w:rPr>
        <w:t>本品为</w:t>
      </w:r>
      <w:r>
        <w:rPr>
          <w:rFonts w:hint="eastAsia" w:ascii="Times New Roman" w:hAnsi="Times New Roman" w:cs="Times New Roman"/>
          <w:kern w:val="0"/>
          <w:szCs w:val="24"/>
        </w:rPr>
        <w:t>草海桐科植物</w:t>
      </w:r>
      <w:r>
        <w:rPr>
          <w:rFonts w:ascii="Times New Roman" w:hAnsi="Times New Roman" w:cs="Times New Roman"/>
          <w:kern w:val="0"/>
          <w:szCs w:val="24"/>
        </w:rPr>
        <w:t>草海桐</w:t>
      </w:r>
      <w:r>
        <w:rPr>
          <w:rFonts w:ascii="Times New Roman" w:hAnsi="Times New Roman" w:cs="Times New Roman"/>
          <w:i/>
          <w:szCs w:val="24"/>
        </w:rPr>
        <w:t>Scaevola taccada</w:t>
      </w:r>
      <w:r>
        <w:rPr>
          <w:rFonts w:hint="eastAsia" w:ascii="Times New Roman" w:hAnsi="Times New Roman" w:cs="Times New Roman"/>
          <w:i w:val="0"/>
          <w:iCs/>
          <w:szCs w:val="24"/>
          <w:lang w:val="en-US" w:eastAsia="zh-CN"/>
        </w:rPr>
        <w:t>（Gaertn.）Roxb.</w:t>
      </w:r>
      <w:r>
        <w:rPr>
          <w:rFonts w:ascii="Times New Roman" w:hAnsi="Times New Roman" w:cs="Times New Roman"/>
          <w:kern w:val="0"/>
          <w:szCs w:val="24"/>
        </w:rPr>
        <w:t>的干燥</w:t>
      </w:r>
      <w:r>
        <w:rPr>
          <w:rFonts w:hint="eastAsia" w:ascii="Times New Roman" w:hAnsi="Times New Roman" w:cs="Times New Roman"/>
          <w:kern w:val="0"/>
          <w:szCs w:val="24"/>
          <w:lang w:val="en-US" w:eastAsia="zh-CN"/>
        </w:rPr>
        <w:t>地上部分</w:t>
      </w:r>
      <w:r>
        <w:rPr>
          <w:rFonts w:ascii="Times New Roman" w:hAnsi="Times New Roman" w:cs="Times New Roman"/>
          <w:kern w:val="0"/>
          <w:szCs w:val="24"/>
        </w:rPr>
        <w:t>。</w:t>
      </w:r>
      <w:r>
        <w:rPr>
          <w:rFonts w:ascii="Times New Roman" w:hAnsi="Times New Roman" w:cs="Times New Roman"/>
          <w:color w:val="000000"/>
        </w:rPr>
        <w:t>全年可采，除去杂质，干燥。</w:t>
      </w:r>
    </w:p>
    <w:p w14:paraId="1128A76A">
      <w:pPr>
        <w:rPr>
          <w:rFonts w:ascii="Times New Roman" w:hAnsi="Times New Roman" w:eastAsia="黑体" w:cs="Times New Roman"/>
          <w:bCs/>
          <w:kern w:val="0"/>
          <w:lang w:val="zh-CN"/>
        </w:rPr>
      </w:pPr>
      <w:r>
        <w:rPr>
          <w:rFonts w:hint="eastAsia" w:ascii="Times New Roman" w:hAnsi="Times New Roman" w:eastAsia="黑体" w:cs="Times New Roman"/>
          <w:bCs/>
          <w:kern w:val="0"/>
          <w:lang w:val="zh-CN"/>
        </w:rPr>
        <w:t>【性状】</w:t>
      </w:r>
      <w:r>
        <w:rPr>
          <w:rFonts w:hint="default" w:ascii="Times New Roman" w:hAnsi="Times New Roman" w:eastAsia="宋体" w:cs="Times New Roman"/>
          <w:bCs/>
          <w:kern w:val="0"/>
          <w:lang w:val="en-US" w:eastAsia="zh-CN"/>
        </w:rPr>
        <w:t>本品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茎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呈圆柱形，长短不一，直径0.5～2cm，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表面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黄棕色至棕褐色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，具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细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纵纹</w:t>
      </w:r>
      <w:r>
        <w:rPr>
          <w:rFonts w:hint="eastAsia" w:ascii="Times New Roman" w:hAnsi="Times New Roman" w:cs="Times New Roman"/>
          <w:bCs/>
          <w:kern w:val="0"/>
          <w:lang w:val="zh-CN"/>
        </w:rPr>
        <w:t>、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点状皮孔及叶痕</w:t>
      </w:r>
      <w:r>
        <w:rPr>
          <w:rFonts w:hint="eastAsia" w:ascii="Times New Roman" w:hAnsi="Times New Roman" w:cs="Times New Roman"/>
          <w:bCs/>
          <w:kern w:val="0"/>
          <w:lang w:val="zh-CN"/>
        </w:rPr>
        <w:t>，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髓部发达，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类白色。小枝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较细，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黄绿色至暗褐色。叶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多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集中于小枝顶端</w:t>
      </w:r>
      <w:r>
        <w:rPr>
          <w:rFonts w:hint="eastAsia" w:ascii="Times New Roman" w:hAnsi="Times New Roman" w:cs="Times New Roman"/>
          <w:bCs/>
          <w:kern w:val="0"/>
          <w:lang w:val="zh-CN"/>
        </w:rPr>
        <w:t>，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螺旋状排列，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绿色至暗绿色，皱缩或破碎，完整者展平后为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匙形至倒卵形，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长10～22cm，宽4～8cm，顶端</w:t>
      </w:r>
      <w:r>
        <w:rPr>
          <w:rFonts w:hint="default" w:ascii="Times New Roman" w:hAnsi="Times New Roman" w:cs="Times New Roman"/>
        </w:rPr>
        <w:t>圆钝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平截</w:t>
      </w:r>
      <w:r>
        <w:rPr>
          <w:rFonts w:hint="default" w:ascii="Times New Roman" w:hAnsi="Times New Roman" w:cs="Times New Roman"/>
        </w:rPr>
        <w:t>或微凸，基部楔形，全缘或边缘微波状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无毛或背面疏被毛，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无柄或具短柄</w:t>
      </w:r>
      <w:r>
        <w:rPr>
          <w:rFonts w:hint="eastAsia" w:ascii="Times New Roman" w:hAnsi="Times New Roman" w:cs="Times New Roman"/>
          <w:bCs/>
          <w:kern w:val="0"/>
          <w:lang w:val="zh-CN"/>
        </w:rPr>
        <w:t>。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叶腋簇生白色须毛。气微，味淡。</w:t>
      </w:r>
    </w:p>
    <w:p w14:paraId="5FAB5117">
      <w:pPr>
        <w:rPr>
          <w:rFonts w:hint="default" w:ascii="Times New Roman" w:hAnsi="Times New Roman" w:eastAsia="宋体" w:cs="Times New Roman"/>
          <w:bCs/>
          <w:kern w:val="0"/>
          <w:lang w:val="zh-CN"/>
        </w:rPr>
      </w:pPr>
      <w:r>
        <w:rPr>
          <w:rFonts w:hint="eastAsia" w:ascii="Times New Roman" w:hAnsi="Times New Roman" w:eastAsia="黑体" w:cs="Times New Roman"/>
          <w:bCs/>
          <w:kern w:val="0"/>
          <w:lang w:val="zh-CN"/>
        </w:rPr>
        <w:t>【鉴别】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（1）本品茎横切面：表皮细胞1列，外壁增厚，下面有多列木栓细胞。皮层宽广，有的薄壁细胞内含草酸钙小簇晶。中柱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鞘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纤维束断续排列成环，韧皮部窄，形成层不明显。木质部较窄，木射线1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～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4列。髓部宽广，有的薄壁细胞内含草酸钙小簇晶。</w:t>
      </w:r>
    </w:p>
    <w:p w14:paraId="29610798">
      <w:pPr>
        <w:rPr>
          <w:rFonts w:hint="default" w:ascii="Times New Roman" w:hAnsi="Times New Roman" w:eastAsia="宋体" w:cs="Times New Roman"/>
          <w:bCs/>
          <w:kern w:val="0"/>
          <w:lang w:val="zh-CN"/>
        </w:rPr>
      </w:pPr>
      <w:r>
        <w:rPr>
          <w:rFonts w:hint="default" w:ascii="Times New Roman" w:hAnsi="Times New Roman" w:eastAsia="宋体" w:cs="Times New Roman"/>
          <w:bCs/>
          <w:kern w:val="0"/>
          <w:lang w:val="zh-CN"/>
        </w:rPr>
        <w:t>粉末黄绿色至灰绿色。木栓细胞表面观多角形，壁稍厚。木纤维成束或单个散在，壁厚，直径7～40μm，具单斜纹孔或十字纹孔。草酸钙簇晶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存在于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薄壁细胞中，直径5～15μm。菊糖扇形或不规则形。非腺毛直径10～20μm</w:t>
      </w:r>
      <w:r>
        <w:rPr>
          <w:rFonts w:hint="eastAsia" w:ascii="Times New Roman" w:hAnsi="Times New Roman" w:cs="Times New Roman"/>
          <w:bCs/>
          <w:kern w:val="0"/>
          <w:lang w:val="zh-CN"/>
        </w:rPr>
        <w:t>，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单细胞非腺毛壁厚，多细胞非腺毛壁薄。导管有网纹导管、梯纹导管及具缘纹孔导管。薄壁细胞类圆形，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有的可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见纹孔。</w:t>
      </w:r>
    </w:p>
    <w:p w14:paraId="222DFD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（2）取本品粉末1g，加甲醇10ml，超声</w:t>
      </w:r>
      <w:r>
        <w:rPr>
          <w:rFonts w:hint="eastAsia" w:ascii="Times New Roman" w:hAnsi="Times New Roman" w:cs="Times New Roman"/>
        </w:rPr>
        <w:t>处理</w:t>
      </w:r>
      <w:r>
        <w:rPr>
          <w:rFonts w:ascii="Times New Roman" w:hAnsi="Times New Roman" w:cs="Times New Roman"/>
        </w:rPr>
        <w:t>30分钟，滤过，滤液蒸干，残渣加甲醇1ml使溶解，作为供试品溶液。另取草海桐对照药材1g，同法制成对照药材溶液。照薄层色谱法（《中国药典》2025年版通则0502）试验，吸取</w:t>
      </w:r>
      <w:r>
        <w:rPr>
          <w:rFonts w:hint="eastAsia" w:ascii="Times New Roman" w:hAnsi="Times New Roman" w:cs="Times New Roman"/>
        </w:rPr>
        <w:t>上述两种溶液</w:t>
      </w:r>
      <w:r>
        <w:rPr>
          <w:rFonts w:ascii="Times New Roman" w:hAnsi="Times New Roman" w:cs="Times New Roman"/>
        </w:rPr>
        <w:t>各2μ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，分别点于同一硅胶GF</w:t>
      </w:r>
      <w:r>
        <w:rPr>
          <w:rFonts w:ascii="Times New Roman" w:hAnsi="Times New Roman" w:cs="Times New Roman"/>
          <w:vertAlign w:val="subscript"/>
        </w:rPr>
        <w:t>254</w:t>
      </w:r>
      <w:r>
        <w:rPr>
          <w:rFonts w:ascii="Times New Roman" w:hAnsi="Times New Roman" w:cs="Times New Roman"/>
        </w:rPr>
        <w:t>板上，以甲苯</w:t>
      </w:r>
      <w:r>
        <w:rPr>
          <w:rFonts w:hint="eastAsia" w:ascii="Times New Roman" w:hAnsi="Times New Roman" w:cs="Times New Roman"/>
          <w:lang w:eastAsia="zh-CN"/>
        </w:rPr>
        <w:t>－</w:t>
      </w:r>
      <w:r>
        <w:rPr>
          <w:rFonts w:ascii="Times New Roman" w:hAnsi="Times New Roman" w:cs="Times New Roman"/>
        </w:rPr>
        <w:t>乙酸乙酯-甲酸-水（17</w:t>
      </w:r>
      <w:bookmarkStart w:id="0" w:name="_Hlk205912279"/>
      <w:r>
        <w:rPr>
          <w:rFonts w:ascii="Times New Roman" w:hAnsi="Times New Roman" w:cs="Times New Roman"/>
          <w:szCs w:val="24"/>
        </w:rPr>
        <w:t>:</w:t>
      </w:r>
      <w:bookmarkEnd w:id="0"/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zCs w:val="24"/>
        </w:rPr>
        <w:t>: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szCs w:val="24"/>
        </w:rPr>
        <w:t>:</w:t>
      </w:r>
      <w:r>
        <w:rPr>
          <w:rFonts w:ascii="Times New Roman" w:hAnsi="Times New Roman" w:cs="Times New Roman"/>
        </w:rPr>
        <w:t>2）</w:t>
      </w:r>
      <w:r>
        <w:rPr>
          <w:rFonts w:hint="eastAsia" w:ascii="Times New Roman" w:hAnsi="Times New Roman" w:cs="Times New Roman"/>
        </w:rPr>
        <w:t>的上层溶液</w:t>
      </w:r>
      <w:r>
        <w:rPr>
          <w:rFonts w:ascii="Times New Roman" w:hAnsi="Times New Roman" w:cs="Times New Roman"/>
        </w:rPr>
        <w:t>为展开剂，展开，取出，晾干，喷以10%硫酸乙醇溶液，在105°C加热至斑点清晰，置紫外光灯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ascii="Times New Roman" w:hAnsi="Times New Roman" w:cs="Times New Roman"/>
        </w:rPr>
        <w:t>365nm</w:t>
      </w:r>
      <w:bookmarkStart w:id="1" w:name="_GoBack"/>
      <w:r>
        <w:rPr>
          <w:rFonts w:hint="eastAsia" w:ascii="Times New Roman" w:hAnsi="Times New Roman" w:cs="Times New Roman"/>
          <w:lang w:eastAsia="zh-CN"/>
        </w:rPr>
        <w:t>）</w:t>
      </w:r>
      <w:bookmarkEnd w:id="1"/>
      <w:r>
        <w:rPr>
          <w:rFonts w:ascii="Times New Roman" w:hAnsi="Times New Roman" w:cs="Times New Roman"/>
        </w:rPr>
        <w:t>下检视。供试品色谱中，在与对照药材色谱相应的位置上，显相同颜色的荧光斑点。</w:t>
      </w:r>
    </w:p>
    <w:p w14:paraId="5974C10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【检查】水分</w:t>
      </w:r>
      <w:r>
        <w:rPr>
          <w:rFonts w:ascii="Times New Roman" w:hAnsi="Times New Roman" w:cs="Times New Roman"/>
          <w:color w:val="000000"/>
        </w:rPr>
        <w:t xml:space="preserve">  不得过13.0%（《中国药典》2025年版通则0832第二法）。</w:t>
      </w:r>
    </w:p>
    <w:p w14:paraId="6F1DEA47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总灰分</w:t>
      </w:r>
      <w:r>
        <w:rPr>
          <w:rFonts w:ascii="Times New Roman" w:hAnsi="Times New Roman" w:cs="Times New Roman"/>
          <w:color w:val="000000"/>
        </w:rPr>
        <w:t xml:space="preserve">  不得过10.0%（《中国药典》2025年版通则2302）。</w:t>
      </w:r>
    </w:p>
    <w:p w14:paraId="69B1A398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【浸出物】</w:t>
      </w:r>
      <w:r>
        <w:rPr>
          <w:rFonts w:ascii="Times New Roman" w:hAnsi="Times New Roman" w:cs="Times New Roman"/>
          <w:color w:val="000000"/>
        </w:rPr>
        <w:t>照水溶性浸出物测定法（《中国药典》2025年版通则2201）项下的热浸法测定，不得少于29.0</w:t>
      </w:r>
      <w:r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  <w:color w:val="000000"/>
        </w:rPr>
        <w:t>。</w:t>
      </w:r>
    </w:p>
    <w:p w14:paraId="50AD146C">
      <w:pPr>
        <w:ind w:firstLine="470" w:firstLineChars="196"/>
        <w:rPr>
          <w:rFonts w:ascii="Times New Roman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除去杂质，切段，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干燥。</w:t>
      </w:r>
    </w:p>
    <w:p w14:paraId="6E47B367">
      <w:pPr>
        <w:ind w:firstLine="470" w:firstLineChars="19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【性味与归经】</w:t>
      </w:r>
      <w:r>
        <w:rPr>
          <w:rFonts w:ascii="Times New Roman" w:hAnsi="Times New Roman" w:cs="Times New Roman"/>
          <w:color w:val="000000"/>
        </w:rPr>
        <w:t>甘、</w:t>
      </w:r>
      <w:r>
        <w:rPr>
          <w:rFonts w:hint="eastAsia" w:ascii="Times New Roman" w:hAnsi="Times New Roman" w:cs="Times New Roman"/>
          <w:color w:val="000000"/>
        </w:rPr>
        <w:t>淡</w:t>
      </w:r>
      <w:r>
        <w:rPr>
          <w:rFonts w:ascii="Times New Roman" w:hAnsi="Times New Roman" w:cs="Times New Roman"/>
          <w:color w:val="000000"/>
        </w:rPr>
        <w:t>，凉。归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肺、</w:t>
      </w:r>
      <w:r>
        <w:rPr>
          <w:rFonts w:ascii="Times New Roman" w:hAnsi="Times New Roman" w:cs="Times New Roman"/>
          <w:bCs/>
          <w:color w:val="000000"/>
        </w:rPr>
        <w:t>肝、脾</w:t>
      </w:r>
      <w:r>
        <w:rPr>
          <w:rFonts w:ascii="Times New Roman" w:hAnsi="Times New Roman" w:cs="Times New Roman"/>
          <w:color w:val="000000"/>
        </w:rPr>
        <w:t>经。</w:t>
      </w:r>
    </w:p>
    <w:p w14:paraId="3CE9BB76">
      <w:pPr>
        <w:ind w:firstLine="470" w:firstLineChars="19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【功能与主治】</w:t>
      </w:r>
      <w:r>
        <w:rPr>
          <w:rFonts w:ascii="Times New Roman" w:hAnsi="Times New Roman" w:cs="Times New Roman"/>
          <w:bCs/>
        </w:rPr>
        <w:t>清热解毒，利湿消肿。用于感冒发热，痈肿疮毒，</w:t>
      </w:r>
      <w:r>
        <w:rPr>
          <w:rFonts w:hint="eastAsia" w:ascii="Times New Roman" w:hAnsi="Times New Roman" w:cs="Times New Roman"/>
          <w:bCs/>
          <w:lang w:val="en-US" w:eastAsia="zh-CN"/>
        </w:rPr>
        <w:t>热淋涩痛</w:t>
      </w:r>
      <w:r>
        <w:rPr>
          <w:rFonts w:ascii="Times New Roman" w:hAnsi="Times New Roman" w:cs="Times New Roman"/>
          <w:bCs/>
        </w:rPr>
        <w:t>，水肿，风湿痹痛</w:t>
      </w:r>
      <w:r>
        <w:rPr>
          <w:rFonts w:hint="eastAsia" w:ascii="Times New Roman" w:hAnsi="Times New Roman" w:cs="Times New Roman"/>
        </w:rPr>
        <w:t>。</w:t>
      </w:r>
    </w:p>
    <w:p w14:paraId="30233A20">
      <w:pPr>
        <w:ind w:firstLine="470" w:firstLineChars="19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【用法与用量】</w:t>
      </w:r>
      <w:r>
        <w:rPr>
          <w:rFonts w:ascii="Times New Roman" w:hAnsi="Times New Roman" w:cs="Times New Roman"/>
          <w:color w:val="000000"/>
        </w:rPr>
        <w:t>15～30g</w:t>
      </w:r>
      <w:r>
        <w:rPr>
          <w:rFonts w:hint="eastAsia" w:ascii="Times New Roman" w:hAnsi="Times New Roman" w:cs="Times New Roman"/>
          <w:color w:val="000000"/>
        </w:rPr>
        <w:t>。</w:t>
      </w:r>
    </w:p>
    <w:p w14:paraId="2F834817">
      <w:pPr>
        <w:ind w:firstLine="470" w:firstLineChars="196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eastAsia="黑体" w:cs="Times New Roman"/>
          <w:color w:val="000000"/>
        </w:rPr>
        <w:t>【贮藏】</w:t>
      </w:r>
      <w:r>
        <w:rPr>
          <w:rFonts w:ascii="Times New Roman" w:hAnsi="Times New Roman" w:cs="Times New Roman"/>
          <w:color w:val="000000"/>
        </w:rPr>
        <w:t>置干燥处。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FD8C6F">
    <w:pPr>
      <w:pStyle w:val="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D2C242"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0FA49">
    <w:pPr>
      <w:pStyle w:val="9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FC197E">
    <w:pPr>
      <w:pStyle w:val="1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44FCDF"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661523">
    <w:pPr>
      <w:pStyle w:val="1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C2E09"/>
    <w:rsid w:val="000104BE"/>
    <w:rsid w:val="00042855"/>
    <w:rsid w:val="00055180"/>
    <w:rsid w:val="000867EF"/>
    <w:rsid w:val="000E39E1"/>
    <w:rsid w:val="000F11B9"/>
    <w:rsid w:val="00122BCB"/>
    <w:rsid w:val="00194CD0"/>
    <w:rsid w:val="001E1381"/>
    <w:rsid w:val="002622B1"/>
    <w:rsid w:val="00294F97"/>
    <w:rsid w:val="002964CA"/>
    <w:rsid w:val="003009FF"/>
    <w:rsid w:val="003032B1"/>
    <w:rsid w:val="00412312"/>
    <w:rsid w:val="00480336"/>
    <w:rsid w:val="00506ED3"/>
    <w:rsid w:val="00507708"/>
    <w:rsid w:val="00516580"/>
    <w:rsid w:val="00546EB8"/>
    <w:rsid w:val="005D2A7A"/>
    <w:rsid w:val="005F1871"/>
    <w:rsid w:val="00600B56"/>
    <w:rsid w:val="006D2277"/>
    <w:rsid w:val="007436F8"/>
    <w:rsid w:val="007D67E0"/>
    <w:rsid w:val="00826362"/>
    <w:rsid w:val="008F012E"/>
    <w:rsid w:val="0091516E"/>
    <w:rsid w:val="009C0787"/>
    <w:rsid w:val="00A46E68"/>
    <w:rsid w:val="00A500A2"/>
    <w:rsid w:val="00B50548"/>
    <w:rsid w:val="00BF5A8B"/>
    <w:rsid w:val="00C16B1E"/>
    <w:rsid w:val="00C61815"/>
    <w:rsid w:val="00C7307A"/>
    <w:rsid w:val="00D4745F"/>
    <w:rsid w:val="00D544CA"/>
    <w:rsid w:val="00DD20BF"/>
    <w:rsid w:val="00E912AD"/>
    <w:rsid w:val="00EA1B85"/>
    <w:rsid w:val="00F62FAC"/>
    <w:rsid w:val="00F92050"/>
    <w:rsid w:val="00FB55D4"/>
    <w:rsid w:val="06C947A0"/>
    <w:rsid w:val="0AF93569"/>
    <w:rsid w:val="0C845B35"/>
    <w:rsid w:val="0DC163B7"/>
    <w:rsid w:val="0FD60138"/>
    <w:rsid w:val="10B1603A"/>
    <w:rsid w:val="110A6481"/>
    <w:rsid w:val="122D7E27"/>
    <w:rsid w:val="12CE4E68"/>
    <w:rsid w:val="19303370"/>
    <w:rsid w:val="1B232AE7"/>
    <w:rsid w:val="217B1617"/>
    <w:rsid w:val="21B26037"/>
    <w:rsid w:val="239448A4"/>
    <w:rsid w:val="25EA5BEB"/>
    <w:rsid w:val="27825800"/>
    <w:rsid w:val="298470CF"/>
    <w:rsid w:val="2B6C2E09"/>
    <w:rsid w:val="2FA70302"/>
    <w:rsid w:val="31BB18D3"/>
    <w:rsid w:val="32EB3E7E"/>
    <w:rsid w:val="35B569D4"/>
    <w:rsid w:val="385E74CA"/>
    <w:rsid w:val="38BC7EA9"/>
    <w:rsid w:val="3A3145F6"/>
    <w:rsid w:val="3B7B2D17"/>
    <w:rsid w:val="3C2C7A04"/>
    <w:rsid w:val="3C5C1637"/>
    <w:rsid w:val="3DB11EF4"/>
    <w:rsid w:val="42492E4D"/>
    <w:rsid w:val="425D64CA"/>
    <w:rsid w:val="42C615B8"/>
    <w:rsid w:val="433462E7"/>
    <w:rsid w:val="45223343"/>
    <w:rsid w:val="4CC40B09"/>
    <w:rsid w:val="4F755034"/>
    <w:rsid w:val="50653CC8"/>
    <w:rsid w:val="507A7515"/>
    <w:rsid w:val="52A62A1F"/>
    <w:rsid w:val="5613192D"/>
    <w:rsid w:val="56D836B5"/>
    <w:rsid w:val="57FB7AFE"/>
    <w:rsid w:val="58BA6694"/>
    <w:rsid w:val="590F1D89"/>
    <w:rsid w:val="5EA41270"/>
    <w:rsid w:val="60673F83"/>
    <w:rsid w:val="681151C8"/>
    <w:rsid w:val="686C3140"/>
    <w:rsid w:val="6AD14D4C"/>
    <w:rsid w:val="6BFB7C75"/>
    <w:rsid w:val="6C8127EF"/>
    <w:rsid w:val="6D8B3775"/>
    <w:rsid w:val="6E3B6506"/>
    <w:rsid w:val="71884308"/>
    <w:rsid w:val="731E7DE9"/>
    <w:rsid w:val="762D75BA"/>
    <w:rsid w:val="76B75E81"/>
    <w:rsid w:val="79AC72A6"/>
    <w:rsid w:val="7ADC31B5"/>
    <w:rsid w:val="7E970E40"/>
    <w:rsid w:val="7ED4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ascii="Times New Roman" w:hAnsi="Times New Roman" w:eastAsiaTheme="minorEastAsia"/>
      <w:b/>
      <w:kern w:val="44"/>
      <w:sz w:val="28"/>
    </w:rPr>
  </w:style>
  <w:style w:type="paragraph" w:styleId="3">
    <w:name w:val="heading 2"/>
    <w:basedOn w:val="2"/>
    <w:next w:val="1"/>
    <w:semiHidden/>
    <w:unhideWhenUsed/>
    <w:qFormat/>
    <w:uiPriority w:val="0"/>
    <w:pPr>
      <w:outlineLvl w:val="1"/>
    </w:pPr>
    <w:rPr>
      <w:rFonts w:eastAsia="宋体"/>
      <w:sz w:val="24"/>
    </w:rPr>
  </w:style>
  <w:style w:type="paragraph" w:styleId="4">
    <w:name w:val="heading 3"/>
    <w:basedOn w:val="3"/>
    <w:next w:val="1"/>
    <w:semiHidden/>
    <w:unhideWhenUsed/>
    <w:qFormat/>
    <w:uiPriority w:val="0"/>
    <w:pPr>
      <w:outlineLvl w:val="2"/>
    </w:pPr>
    <w:rPr>
      <w:rFonts w:eastAsiaTheme="majorEastAsia"/>
    </w:rPr>
  </w:style>
  <w:style w:type="paragraph" w:styleId="5">
    <w:name w:val="heading 4"/>
    <w:basedOn w:val="4"/>
    <w:next w:val="1"/>
    <w:semiHidden/>
    <w:unhideWhenUsed/>
    <w:qFormat/>
    <w:uiPriority w:val="0"/>
    <w:pPr>
      <w:outlineLvl w:val="3"/>
    </w:pPr>
    <w:rPr>
      <w:rFonts w:eastAsia="宋体"/>
    </w:rPr>
  </w:style>
  <w:style w:type="paragraph" w:styleId="6">
    <w:name w:val="heading 5"/>
    <w:basedOn w:val="5"/>
    <w:next w:val="1"/>
    <w:semiHidden/>
    <w:unhideWhenUsed/>
    <w:qFormat/>
    <w:uiPriority w:val="0"/>
    <w:pPr>
      <w:outlineLvl w:val="4"/>
    </w:p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annotation text"/>
    <w:basedOn w:val="1"/>
    <w:link w:val="17"/>
    <w:qFormat/>
    <w:uiPriority w:val="0"/>
    <w:pPr>
      <w:jc w:val="left"/>
    </w:pPr>
  </w:style>
  <w:style w:type="paragraph" w:styleId="8">
    <w:name w:val="Balloon Text"/>
    <w:basedOn w:val="1"/>
    <w:link w:val="22"/>
    <w:qFormat/>
    <w:uiPriority w:val="0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0">
    <w:name w:val="header"/>
    <w:basedOn w:val="1"/>
    <w:link w:val="1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1">
    <w:name w:val="annotation subject"/>
    <w:basedOn w:val="7"/>
    <w:next w:val="7"/>
    <w:link w:val="18"/>
    <w:qFormat/>
    <w:uiPriority w:val="0"/>
    <w:rPr>
      <w:b/>
      <w:bCs/>
    </w:rPr>
  </w:style>
  <w:style w:type="character" w:styleId="14">
    <w:name w:val="annotation reference"/>
    <w:basedOn w:val="13"/>
    <w:qFormat/>
    <w:uiPriority w:val="0"/>
    <w:rPr>
      <w:sz w:val="21"/>
      <w:szCs w:val="21"/>
    </w:rPr>
  </w:style>
  <w:style w:type="paragraph" w:customStyle="1" w:styleId="15">
    <w:name w:val="一级标题"/>
    <w:qFormat/>
    <w:uiPriority w:val="0"/>
    <w:pPr>
      <w:keepNext/>
      <w:keepLines/>
      <w:widowControl w:val="0"/>
      <w:spacing w:line="360" w:lineRule="auto"/>
      <w:jc w:val="both"/>
      <w:outlineLvl w:val="0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paragraph" w:customStyle="1" w:styleId="16">
    <w:name w:val="二级标题"/>
    <w:qFormat/>
    <w:uiPriority w:val="0"/>
    <w:pPr>
      <w:keepNext/>
      <w:keepLines/>
      <w:widowControl w:val="0"/>
      <w:spacing w:line="360" w:lineRule="auto"/>
      <w:jc w:val="both"/>
      <w:outlineLvl w:val="1"/>
    </w:pPr>
    <w:rPr>
      <w:rFonts w:ascii="Times New Roman" w:hAnsi="Times New Roman" w:eastAsia="宋体" w:cs="Times New Roman"/>
      <w:b/>
      <w:bCs/>
      <w:kern w:val="2"/>
      <w:sz w:val="24"/>
      <w:szCs w:val="32"/>
      <w:lang w:val="en-US" w:eastAsia="zh-CN" w:bidi="ar-SA"/>
    </w:rPr>
  </w:style>
  <w:style w:type="character" w:customStyle="1" w:styleId="17">
    <w:name w:val="批注文字 Char"/>
    <w:basedOn w:val="13"/>
    <w:link w:val="7"/>
    <w:qFormat/>
    <w:uiPriority w:val="0"/>
    <w:rPr>
      <w:rFonts w:eastAsia="宋体"/>
      <w:kern w:val="2"/>
      <w:sz w:val="24"/>
      <w:szCs w:val="22"/>
    </w:rPr>
  </w:style>
  <w:style w:type="character" w:customStyle="1" w:styleId="18">
    <w:name w:val="批注主题 Char"/>
    <w:basedOn w:val="17"/>
    <w:link w:val="11"/>
    <w:qFormat/>
    <w:uiPriority w:val="0"/>
    <w:rPr>
      <w:rFonts w:eastAsia="宋体"/>
      <w:b/>
      <w:bCs/>
      <w:kern w:val="2"/>
      <w:sz w:val="24"/>
      <w:szCs w:val="22"/>
    </w:rPr>
  </w:style>
  <w:style w:type="character" w:customStyle="1" w:styleId="19">
    <w:name w:val="页眉 Char"/>
    <w:basedOn w:val="13"/>
    <w:link w:val="10"/>
    <w:qFormat/>
    <w:uiPriority w:val="0"/>
    <w:rPr>
      <w:rFonts w:eastAsia="宋体"/>
      <w:kern w:val="2"/>
      <w:sz w:val="18"/>
      <w:szCs w:val="18"/>
    </w:rPr>
  </w:style>
  <w:style w:type="character" w:customStyle="1" w:styleId="20">
    <w:name w:val="页脚 Char"/>
    <w:basedOn w:val="13"/>
    <w:link w:val="9"/>
    <w:qFormat/>
    <w:uiPriority w:val="0"/>
    <w:rPr>
      <w:rFonts w:eastAsia="宋体"/>
      <w:kern w:val="2"/>
      <w:sz w:val="18"/>
      <w:szCs w:val="18"/>
    </w:rPr>
  </w:style>
  <w:style w:type="paragraph" w:customStyle="1" w:styleId="21">
    <w:name w:val="Revision"/>
    <w:hidden/>
    <w:unhideWhenUsed/>
    <w:qFormat/>
    <w:uiPriority w:val="99"/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character" w:customStyle="1" w:styleId="22">
    <w:name w:val="批注框文本 Char"/>
    <w:basedOn w:val="13"/>
    <w:link w:val="8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476a6201-750d-47fc-911a-5462fab29c72</errorID>
      <errorWord>观</errorWord>
      <group>L1_Word</group>
      <groupName>字词问题</groupName>
      <ability>L2_Typo</ability>
      <abilityName>字词错误</abilityName>
      <candidateList>
        <item>呈</item>
      </candidateList>
      <explain>❶〈动〉具有（某种形式）；呈现（某种颜色、状态）：果实～长圆形｜毛皮～暗褐色。❷〈动〉恭敬地送上去：谨～｜～上名片。❸呈文：签～。❹（Chénɡ）〈名〉姓。</explain>
      <paraID>29610798</paraID>
      <start>16</start>
      <end>17</end>
      <status>ignored</status>
      <modifiedWord/>
      <trackRevisions>false</trackRevisions>
    </reviewItem>
    <reviewItem>
      <errorID>6fab7999-62bd-41c5-a80d-e0ffd838c478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222DFDF7</paraID>
      <start>140</start>
      <end>141</end>
      <status>modified</status>
      <modifiedWord>－</modifiedWord>
      <trackRevisions>false</trackRevisions>
    </reviewItem>
    <reviewItem>
      <errorID>f3dc7c9e-f9ba-4bde-9f46-0e41879b2ee0</errorID>
      <errorWord>紫外光</errorWord>
      <group>L1_Word</group>
      <groupName>字词问题</groupName>
      <ability>L2_Typo</ability>
      <abilityName>字词错误</abilityName>
      <candidateList>
        <item>紫外线</item>
      </candidateList>
      <explain/>
      <paraID>222DFDF7</paraID>
      <start>206</start>
      <end>209</end>
      <status>ignored</status>
      <modifiedWord/>
      <trackRevisions>false</trackRevisions>
    </reviewItem>
    <reviewItem>
      <errorID>2bbaa99e-c5f8-4cac-b80b-57c1395a2b54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222DFDF7</paraID>
      <start>210</start>
      <end>211</end>
      <status>modified</status>
      <modifiedWord>（</modifiedWord>
      <trackRevisions>false</trackRevisions>
    </reviewItem>
    <reviewItem>
      <errorID>2ed48d44-fb73-4975-b290-75d9da8cb879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222DFDF7</paraID>
      <start>216</start>
      <end>217</end>
      <status>modified</status>
      <modifiedWord>）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2409cb6f-673b-4876-8c88-e930928926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893</Words>
  <Characters>1036</Characters>
  <Lines>14</Lines>
  <Paragraphs>4</Paragraphs>
  <TotalTime>2</TotalTime>
  <ScaleCrop>false</ScaleCrop>
  <LinksUpToDate>false</LinksUpToDate>
  <CharactersWithSpaces>1043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2025-10-27T13:15:00Z</dcterms:created>
  <dc:creator>凌婕</dc:creator>
  <cp:lastModifiedBy>木木</cp:lastModifiedBy>
  <dcterms:modified xsi:type="dcterms:W3CDTF">2025-11-22T03:14:38Z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8B51EF2E6BE84F4A875A6AF495384AD8_13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